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footnotes.xml" ContentType="application/vnd.openxmlformats-officedocument.wordprocessingml.footnotes+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Liber Primus, Caput X</w:t>
      </w:r>
    </w:p>
    <w:p>
      <w:pPr>
        <w:pStyle w:val="Body"/>
        <w:bidi w:val="0"/>
      </w:pPr>
    </w:p>
    <w:p>
      <w:pPr>
        <w:pStyle w:val="Body"/>
        <w:spacing w:line="360" w:lineRule="auto"/>
      </w:pPr>
      <w:r>
        <w:rPr>
          <w:rtl w:val="0"/>
        </w:rPr>
        <w:tab/>
        <w:t>Caesari renuntiatur Helvetiis esse in animo per agrum Sequanorum et Haeduorum iter in Santonum fines facere, qui non longe a Tolosatium finibus absunt, quae civitas est in provincia. Id si fieret, intellegebat futuram rem periculosam provinciae ut haberet homines bellicosos, populi Romani inimicos, locis patentibus maximeque frumentariis</w:t>
      </w:r>
      <w:r>
        <w:rPr>
          <w:rFonts w:ascii="Times New Roman" w:cs="Times New Roman" w:hAnsi="Times New Roman" w:eastAsia="Times New Roman"/>
          <w:vertAlign w:val="superscript"/>
        </w:rPr>
        <w:footnoteReference w:id="1"/>
      </w:r>
      <w:r>
        <w:rPr>
          <w:rtl w:val="0"/>
          <w:lang w:val="en-US"/>
        </w:rPr>
        <w:t xml:space="preserve"> finitimos. Ob eas causas ei munitioni</w:t>
      </w:r>
      <w:r>
        <w:rPr>
          <w:rFonts w:ascii="Times New Roman" w:cs="Times New Roman" w:hAnsi="Times New Roman" w:eastAsia="Times New Roman"/>
          <w:vertAlign w:val="superscript"/>
        </w:rPr>
        <w:footnoteReference w:id="2"/>
      </w:r>
      <w:r>
        <w:rPr>
          <w:rtl w:val="0"/>
          <w:lang w:val="en-US"/>
        </w:rPr>
        <w:t xml:space="preserve"> quae fecerat, T. Labienum legatum praefecit; ipse in Italiam magnis itineribus contendit duasque ibi legiones conscribit et tres, quae circum Aquileiam</w:t>
      </w:r>
      <w:r>
        <w:rPr>
          <w:rFonts w:ascii="Times New Roman" w:cs="Times New Roman" w:hAnsi="Times New Roman" w:eastAsia="Times New Roman"/>
          <w:vertAlign w:val="superscript"/>
        </w:rPr>
        <w:footnoteReference w:id="3"/>
      </w:r>
      <w:r>
        <w:rPr>
          <w:rtl w:val="0"/>
          <w:lang w:val="en-US"/>
        </w:rPr>
        <w:t xml:space="preserve"> hiemebant, ex hibernis</w:t>
      </w:r>
      <w:r>
        <w:rPr>
          <w:rFonts w:ascii="Times New Roman" w:cs="Times New Roman" w:hAnsi="Times New Roman" w:eastAsia="Times New Roman"/>
          <w:vertAlign w:val="superscript"/>
        </w:rPr>
        <w:footnoteReference w:id="4"/>
      </w:r>
      <w:r>
        <w:rPr>
          <w:rtl w:val="0"/>
          <w:lang w:val="en-US"/>
        </w:rPr>
        <w:t xml:space="preserve"> educit et, qua proximum iter in ulteriorem Galliam per Alpes erat, cum his quinque legionibus ire contendit. Ibi Ceutrones et Graioceli et Caturiges locis superioribus occupatis itinere exercitum prohibere conantur. Conpluribus his proeliis pulsis, in fines Vocontiorum die septimo pervenit; inde in Allobrogum fines, ab Allobrogibus in Segusiavos exercitum ducit. Hi sunt extra provinciam trans Rhodanum primi. </w:t>
      </w:r>
    </w:p>
    <w:p>
      <w:pPr>
        <w:pStyle w:val="Body"/>
        <w:spacing w:line="360" w:lineRule="auto"/>
      </w:pPr>
    </w:p>
    <w:p>
      <w:pPr>
        <w:pStyle w:val="Body"/>
        <w:spacing w:line="360" w:lineRule="auto"/>
      </w:pPr>
    </w:p>
    <w:p>
      <w:pPr>
        <w:pStyle w:val="Body"/>
        <w:spacing w:line="360" w:lineRule="auto"/>
      </w:pPr>
    </w:p>
    <w:p>
      <w:pPr>
        <w:pStyle w:val="Body"/>
        <w:spacing w:line="360" w:lineRule="auto"/>
      </w:pPr>
    </w:p>
    <w:p>
      <w:pPr>
        <w:pStyle w:val="Body"/>
        <w:spacing w:line="360" w:lineRule="auto"/>
      </w:pPr>
    </w:p>
    <w:p>
      <w:pPr>
        <w:pStyle w:val="Body"/>
        <w:spacing w:line="360" w:lineRule="auto"/>
      </w:pPr>
    </w:p>
    <w:p>
      <w:pPr>
        <w:pStyle w:val="Body"/>
        <w:spacing w:line="360" w:lineRule="auto"/>
        <w:jc w:val="center"/>
        <w:rPr>
          <w:b w:val="1"/>
          <w:bCs w:val="1"/>
        </w:rPr>
      </w:pPr>
      <w:r>
        <w:rPr>
          <w:b w:val="1"/>
          <w:bCs w:val="1"/>
          <w:rtl w:val="0"/>
          <w:lang w:val="en-US"/>
        </w:rPr>
        <w:t>Vocabularium</w:t>
      </w:r>
    </w:p>
    <w:p>
      <w:pPr>
        <w:pStyle w:val="Body"/>
        <w:jc w:val="left"/>
      </w:pPr>
      <w:r>
        <w:rPr>
          <w:b w:val="1"/>
          <w:bCs w:val="1"/>
          <w:rtl w:val="0"/>
          <w:lang w:val="en-US"/>
        </w:rPr>
        <w:t>Helvetiis esse in animo</w:t>
      </w:r>
      <w:r>
        <w:rPr>
          <w:rFonts w:hAnsi="Helvetica" w:hint="default"/>
          <w:b w:val="1"/>
          <w:bCs w:val="1"/>
          <w:rtl w:val="0"/>
          <w:lang w:val="en-US"/>
        </w:rPr>
        <w:t>…</w:t>
      </w:r>
      <w:r>
        <w:rPr>
          <w:rtl w:val="0"/>
          <w:lang w:val="en-US"/>
        </w:rPr>
        <w:t xml:space="preserve">: </w:t>
      </w:r>
      <w:r>
        <w:rPr>
          <w:rFonts w:hAnsi="Helvetica" w:hint="default"/>
          <w:rtl w:val="0"/>
          <w:lang w:val="en-US"/>
        </w:rPr>
        <w:t>“</w:t>
      </w:r>
      <w:r>
        <w:rPr>
          <w:rtl w:val="0"/>
          <w:lang w:val="en-US"/>
        </w:rPr>
        <w:t>the Helvetians had in mind</w:t>
      </w:r>
      <w:r>
        <w:rPr>
          <w:rFonts w:hAnsi="Helvetica" w:hint="default"/>
          <w:rtl w:val="0"/>
          <w:lang w:val="en-US"/>
        </w:rPr>
        <w:t xml:space="preserve">…” </w:t>
      </w:r>
      <w:r>
        <w:rPr>
          <w:rtl w:val="0"/>
          <w:lang w:val="en-US"/>
        </w:rPr>
        <w:t>+ infinitive</w:t>
      </w:r>
    </w:p>
    <w:p>
      <w:pPr>
        <w:pStyle w:val="Body"/>
        <w:jc w:val="left"/>
      </w:pPr>
    </w:p>
    <w:p>
      <w:pPr>
        <w:pStyle w:val="Body"/>
        <w:jc w:val="left"/>
      </w:pPr>
    </w:p>
    <w:p>
      <w:pPr>
        <w:pStyle w:val="Body"/>
        <w:jc w:val="left"/>
        <w:rPr>
          <w:b w:val="0"/>
          <w:bCs w:val="0"/>
        </w:rPr>
      </w:pPr>
      <w:r>
        <w:rPr>
          <w:b w:val="1"/>
          <w:bCs w:val="1"/>
          <w:rtl w:val="0"/>
          <w:lang w:val="en-US"/>
        </w:rPr>
        <w:t xml:space="preserve">futuram: </w:t>
      </w:r>
      <w:r>
        <w:rPr>
          <w:rFonts w:hAnsi="Helvetica" w:hint="default"/>
          <w:b w:val="0"/>
          <w:bCs w:val="0"/>
          <w:rtl w:val="0"/>
          <w:lang w:val="en-US"/>
        </w:rPr>
        <w:t>“</w:t>
      </w:r>
      <w:r>
        <w:rPr>
          <w:b w:val="0"/>
          <w:bCs w:val="0"/>
          <w:rtl w:val="0"/>
          <w:lang w:val="en-US"/>
        </w:rPr>
        <w:t>it would be</w:t>
      </w:r>
      <w:r>
        <w:rPr>
          <w:rFonts w:hAnsi="Helvetica" w:hint="default"/>
          <w:b w:val="0"/>
          <w:bCs w:val="0"/>
          <w:rtl w:val="0"/>
          <w:lang w:val="en-US"/>
        </w:rPr>
        <w:t>”</w:t>
      </w:r>
    </w:p>
    <w:p>
      <w:pPr>
        <w:pStyle w:val="Body"/>
        <w:jc w:val="left"/>
      </w:pPr>
      <w:r>
        <w:rPr>
          <w:b w:val="1"/>
          <w:bCs w:val="1"/>
          <w:rtl w:val="0"/>
          <w:lang w:val="en-US"/>
        </w:rPr>
        <w:t>provinciae</w:t>
      </w:r>
      <w:r>
        <w:rPr>
          <w:rtl w:val="0"/>
          <w:lang w:val="en-US"/>
        </w:rPr>
        <w:t xml:space="preserve">: </w:t>
      </w:r>
      <w:r>
        <w:rPr>
          <w:i w:val="1"/>
          <w:iCs w:val="1"/>
          <w:rtl w:val="0"/>
          <w:lang w:val="en-US"/>
        </w:rPr>
        <w:t>dative</w:t>
      </w:r>
    </w:p>
    <w:p>
      <w:pPr>
        <w:pStyle w:val="Body"/>
        <w:jc w:val="left"/>
        <w:rPr>
          <w:b w:val="1"/>
          <w:bCs w:val="1"/>
        </w:rPr>
      </w:pPr>
      <w:r>
        <w:rPr>
          <w:b w:val="1"/>
          <w:bCs w:val="1"/>
          <w:rtl w:val="0"/>
          <w:lang w:val="en-US"/>
        </w:rPr>
        <w:t xml:space="preserve">inimicos: </w:t>
      </w:r>
      <w:r>
        <w:rPr>
          <w:rFonts w:hAnsi="Helvetica" w:hint="default"/>
          <w:b w:val="0"/>
          <w:bCs w:val="0"/>
          <w:rtl w:val="0"/>
          <w:lang w:val="en-US"/>
        </w:rPr>
        <w:t>“</w:t>
      </w:r>
      <w:r>
        <w:rPr>
          <w:b w:val="0"/>
          <w:bCs w:val="0"/>
          <w:rtl w:val="0"/>
          <w:lang w:val="en-US"/>
        </w:rPr>
        <w:t>enemies</w:t>
      </w:r>
      <w:r>
        <w:rPr>
          <w:rFonts w:hAnsi="Helvetica" w:hint="default"/>
          <w:b w:val="0"/>
          <w:bCs w:val="0"/>
          <w:rtl w:val="0"/>
          <w:lang w:val="en-US"/>
        </w:rPr>
        <w:t xml:space="preserve">” </w:t>
      </w:r>
      <w:r>
        <w:rPr>
          <w:b w:val="0"/>
          <w:bCs w:val="0"/>
          <w:rtl w:val="0"/>
          <w:lang w:val="en-US"/>
        </w:rPr>
        <w:t xml:space="preserve">+ genitive </w:t>
      </w:r>
    </w:p>
    <w:p>
      <w:pPr>
        <w:pStyle w:val="Body"/>
        <w:jc w:val="left"/>
        <w:rPr>
          <w:b w:val="1"/>
          <w:bCs w:val="1"/>
        </w:rPr>
      </w:pPr>
    </w:p>
    <w:p>
      <w:pPr>
        <w:pStyle w:val="Body"/>
        <w:jc w:val="left"/>
        <w:rPr>
          <w:b w:val="1"/>
          <w:bCs w:val="1"/>
        </w:rPr>
      </w:pPr>
    </w:p>
    <w:p>
      <w:pPr>
        <w:pStyle w:val="Body"/>
        <w:jc w:val="left"/>
        <w:rPr>
          <w:b w:val="0"/>
          <w:bCs w:val="0"/>
        </w:rPr>
      </w:pPr>
      <w:r>
        <w:rPr>
          <w:b w:val="1"/>
          <w:bCs w:val="1"/>
          <w:rtl w:val="0"/>
          <w:lang w:val="en-US"/>
        </w:rPr>
        <w:t xml:space="preserve">praeficio: </w:t>
      </w:r>
      <w:r>
        <w:rPr>
          <w:rFonts w:hAnsi="Helvetica" w:hint="default"/>
          <w:b w:val="0"/>
          <w:bCs w:val="0"/>
          <w:rtl w:val="0"/>
          <w:lang w:val="en-US"/>
        </w:rPr>
        <w:t>“</w:t>
      </w:r>
      <w:r>
        <w:rPr>
          <w:b w:val="0"/>
          <w:bCs w:val="0"/>
          <w:rtl w:val="0"/>
          <w:lang w:val="en-US"/>
        </w:rPr>
        <w:t>to put X (accusative) in charge of Y (dative)</w:t>
      </w:r>
      <w:r>
        <w:rPr>
          <w:rFonts w:hAnsi="Helvetica" w:hint="default"/>
          <w:b w:val="0"/>
          <w:bCs w:val="0"/>
          <w:rtl w:val="0"/>
          <w:lang w:val="en-US"/>
        </w:rPr>
        <w:t>”</w:t>
      </w:r>
    </w:p>
    <w:p>
      <w:pPr>
        <w:pStyle w:val="Body"/>
        <w:jc w:val="left"/>
        <w:rPr>
          <w:b w:val="0"/>
          <w:bCs w:val="0"/>
        </w:rPr>
      </w:pPr>
    </w:p>
    <w:p>
      <w:pPr>
        <w:pStyle w:val="Body"/>
        <w:jc w:val="left"/>
        <w:rPr>
          <w:b w:val="0"/>
          <w:bCs w:val="0"/>
          <w:i w:val="1"/>
          <w:iCs w:val="1"/>
        </w:rPr>
      </w:pPr>
      <w:r>
        <w:rPr>
          <w:b w:val="1"/>
          <w:bCs w:val="1"/>
          <w:rtl w:val="0"/>
          <w:lang w:val="en-US"/>
        </w:rPr>
        <w:t xml:space="preserve">tres: </w:t>
      </w:r>
      <w:r>
        <w:rPr>
          <w:b w:val="0"/>
          <w:bCs w:val="0"/>
          <w:rtl w:val="0"/>
          <w:lang w:val="en-US"/>
        </w:rPr>
        <w:t>add</w:t>
      </w:r>
      <w:r>
        <w:rPr>
          <w:rFonts w:hAnsi="Helvetica" w:hint="default"/>
          <w:b w:val="0"/>
          <w:bCs w:val="0"/>
          <w:i w:val="1"/>
          <w:iCs w:val="1"/>
          <w:rtl w:val="0"/>
          <w:lang w:val="en-US"/>
        </w:rPr>
        <w:t xml:space="preserve"> “</w:t>
      </w:r>
      <w:r>
        <w:rPr>
          <w:b w:val="0"/>
          <w:bCs w:val="0"/>
          <w:i w:val="1"/>
          <w:iCs w:val="1"/>
          <w:rtl w:val="0"/>
          <w:lang w:val="en-US"/>
        </w:rPr>
        <w:t>legiones</w:t>
      </w:r>
      <w:r>
        <w:rPr>
          <w:rFonts w:hAnsi="Helvetica" w:hint="default"/>
          <w:b w:val="0"/>
          <w:bCs w:val="0"/>
          <w:i w:val="1"/>
          <w:iCs w:val="1"/>
          <w:rtl w:val="0"/>
          <w:lang w:val="en-US"/>
        </w:rPr>
        <w:t>”</w:t>
      </w:r>
    </w:p>
    <w:p>
      <w:pPr>
        <w:pStyle w:val="Body"/>
        <w:jc w:val="left"/>
        <w:rPr>
          <w:b w:val="0"/>
          <w:bCs w:val="0"/>
        </w:rPr>
      </w:pPr>
      <w:r>
        <w:rPr>
          <w:b w:val="1"/>
          <w:bCs w:val="1"/>
          <w:rtl w:val="0"/>
          <w:lang w:val="en-US"/>
        </w:rPr>
        <w:t>qua</w:t>
      </w:r>
      <w:r>
        <w:rPr>
          <w:b w:val="0"/>
          <w:bCs w:val="0"/>
          <w:rtl w:val="0"/>
          <w:lang w:val="en-US"/>
        </w:rPr>
        <w:t xml:space="preserve">: </w:t>
      </w:r>
      <w:r>
        <w:rPr>
          <w:rFonts w:hAnsi="Helvetica" w:hint="default"/>
          <w:b w:val="0"/>
          <w:bCs w:val="0"/>
          <w:rtl w:val="0"/>
          <w:lang w:val="en-US"/>
        </w:rPr>
        <w:t>“</w:t>
      </w:r>
      <w:r>
        <w:rPr>
          <w:b w:val="0"/>
          <w:bCs w:val="0"/>
          <w:rtl w:val="0"/>
          <w:lang w:val="en-US"/>
        </w:rPr>
        <w:t>where</w:t>
      </w:r>
      <w:r>
        <w:rPr>
          <w:rFonts w:hAnsi="Helvetica" w:hint="default"/>
          <w:b w:val="0"/>
          <w:bCs w:val="0"/>
          <w:rtl w:val="0"/>
          <w:lang w:val="en-US"/>
        </w:rPr>
        <w:t>”</w:t>
      </w:r>
    </w:p>
    <w:p>
      <w:pPr>
        <w:pStyle w:val="Body"/>
        <w:jc w:val="left"/>
        <w:rPr>
          <w:b w:val="0"/>
          <w:bCs w:val="0"/>
          <w:i w:val="1"/>
          <w:iCs w:val="1"/>
        </w:rPr>
      </w:pPr>
      <w:r>
        <w:rPr>
          <w:b w:val="1"/>
          <w:bCs w:val="1"/>
          <w:rtl w:val="0"/>
          <w:lang w:val="en-US"/>
        </w:rPr>
        <w:t>quinque</w:t>
      </w:r>
      <w:r>
        <w:rPr>
          <w:b w:val="0"/>
          <w:bCs w:val="0"/>
          <w:rtl w:val="0"/>
          <w:lang w:val="en-US"/>
        </w:rPr>
        <w:t xml:space="preserve">: </w:t>
      </w:r>
      <w:r>
        <w:rPr>
          <w:b w:val="0"/>
          <w:bCs w:val="0"/>
          <w:i w:val="1"/>
          <w:iCs w:val="1"/>
          <w:rtl w:val="0"/>
          <w:lang w:val="en-US"/>
        </w:rPr>
        <w:t>goes with his legionibus</w:t>
      </w:r>
    </w:p>
    <w:p>
      <w:pPr>
        <w:pStyle w:val="Body"/>
        <w:jc w:val="left"/>
        <w:rPr>
          <w:b w:val="0"/>
          <w:bCs w:val="0"/>
        </w:rPr>
      </w:pPr>
      <w:r>
        <w:rPr>
          <w:b w:val="1"/>
          <w:bCs w:val="1"/>
          <w:rtl w:val="0"/>
          <w:lang w:val="en-US"/>
        </w:rPr>
        <w:t xml:space="preserve">locis superioribus occupatis: </w:t>
      </w:r>
      <w:r>
        <w:rPr>
          <w:rFonts w:hAnsi="Helvetica" w:hint="default"/>
          <w:b w:val="0"/>
          <w:bCs w:val="0"/>
          <w:rtl w:val="0"/>
          <w:lang w:val="en-US"/>
        </w:rPr>
        <w:t>“</w:t>
      </w:r>
      <w:r>
        <w:rPr>
          <w:b w:val="0"/>
          <w:bCs w:val="0"/>
          <w:rtl w:val="0"/>
          <w:lang w:val="en-US"/>
        </w:rPr>
        <w:t>since they occupied higher ground</w:t>
      </w:r>
      <w:r>
        <w:rPr>
          <w:rFonts w:hAnsi="Helvetica" w:hint="default"/>
          <w:b w:val="0"/>
          <w:bCs w:val="0"/>
          <w:rtl w:val="0"/>
          <w:lang w:val="en-US"/>
        </w:rPr>
        <w:t>”</w:t>
      </w:r>
    </w:p>
    <w:p>
      <w:pPr>
        <w:pStyle w:val="Body"/>
        <w:jc w:val="left"/>
        <w:rPr>
          <w:b w:val="0"/>
          <w:bCs w:val="0"/>
        </w:rPr>
      </w:pPr>
    </w:p>
    <w:p>
      <w:pPr>
        <w:pStyle w:val="Body"/>
        <w:jc w:val="left"/>
        <w:rPr>
          <w:b w:val="0"/>
          <w:bCs w:val="0"/>
        </w:rPr>
      </w:pPr>
    </w:p>
    <w:p>
      <w:pPr>
        <w:pStyle w:val="Body"/>
        <w:jc w:val="left"/>
        <w:rPr>
          <w:b w:val="0"/>
          <w:bCs w:val="0"/>
          <w:i w:val="1"/>
          <w:iCs w:val="1"/>
        </w:rPr>
      </w:pPr>
      <w:r>
        <w:rPr>
          <w:b w:val="1"/>
          <w:bCs w:val="1"/>
          <w:rtl w:val="0"/>
          <w:lang w:val="en-US"/>
        </w:rPr>
        <w:t xml:space="preserve">proeliis: </w:t>
      </w:r>
      <w:r>
        <w:rPr>
          <w:b w:val="0"/>
          <w:bCs w:val="0"/>
          <w:i w:val="1"/>
          <w:iCs w:val="1"/>
          <w:rtl w:val="0"/>
          <w:lang w:val="en-US"/>
        </w:rPr>
        <w:t>ablative of means inside the ablative absolute</w:t>
      </w:r>
    </w:p>
    <w:p>
      <w:pPr>
        <w:pStyle w:val="Body"/>
        <w:jc w:val="left"/>
        <w:rPr>
          <w:b w:val="0"/>
          <w:bCs w:val="0"/>
        </w:rPr>
      </w:pPr>
      <w:r>
        <w:rPr>
          <w:b w:val="1"/>
          <w:bCs w:val="1"/>
          <w:rtl w:val="0"/>
          <w:lang w:val="en-US"/>
        </w:rPr>
        <w:t>pulsis</w:t>
      </w:r>
      <w:r>
        <w:rPr>
          <w:b w:val="0"/>
          <w:bCs w:val="0"/>
          <w:rtl w:val="0"/>
          <w:lang w:val="en-US"/>
        </w:rPr>
        <w:t xml:space="preserve">: </w:t>
      </w:r>
      <w:r>
        <w:rPr>
          <w:rFonts w:hAnsi="Helvetica" w:hint="default"/>
          <w:b w:val="0"/>
          <w:bCs w:val="0"/>
          <w:rtl w:val="0"/>
          <w:lang w:val="en-US"/>
        </w:rPr>
        <w:t>“</w:t>
      </w:r>
      <w:r>
        <w:rPr>
          <w:b w:val="0"/>
          <w:bCs w:val="0"/>
          <w:rtl w:val="0"/>
          <w:lang w:val="en-US"/>
        </w:rPr>
        <w:t>driven back</w:t>
      </w:r>
      <w:r>
        <w:rPr>
          <w:rFonts w:hAnsi="Helvetica" w:hint="default"/>
          <w:b w:val="0"/>
          <w:bCs w:val="0"/>
          <w:rtl w:val="0"/>
          <w:lang w:val="en-US"/>
        </w:rPr>
        <w:t>”</w:t>
      </w:r>
    </w:p>
    <w:p>
      <w:pPr>
        <w:pStyle w:val="Body"/>
        <w:jc w:val="left"/>
        <w:rPr>
          <w:b w:val="0"/>
          <w:bCs w:val="0"/>
        </w:rPr>
      </w:pPr>
    </w:p>
    <w:p>
      <w:pPr>
        <w:pStyle w:val="Body"/>
        <w:jc w:val="left"/>
        <w:rPr>
          <w:b w:val="0"/>
          <w:bCs w:val="0"/>
        </w:rPr>
      </w:pPr>
    </w:p>
    <w:p>
      <w:pPr>
        <w:pStyle w:val="Body"/>
        <w:jc w:val="left"/>
      </w:pPr>
      <w:r>
        <w:rPr>
          <w:b w:val="1"/>
          <w:bCs w:val="1"/>
          <w:rtl w:val="0"/>
          <w:lang w:val="en-US"/>
        </w:rPr>
        <w:t xml:space="preserve">primi: </w:t>
      </w:r>
      <w:r>
        <w:rPr>
          <w:b w:val="0"/>
          <w:bCs w:val="0"/>
          <w:i w:val="1"/>
          <w:iCs w:val="1"/>
          <w:rtl w:val="0"/>
          <w:lang w:val="en-US"/>
        </w:rPr>
        <w:t xml:space="preserve">goes with </w:t>
      </w:r>
      <w:r>
        <w:rPr>
          <w:b w:val="1"/>
          <w:bCs w:val="1"/>
          <w:i w:val="1"/>
          <w:iCs w:val="1"/>
          <w:rtl w:val="0"/>
          <w:lang w:val="en-US"/>
        </w:rPr>
        <w:t>hi</w:t>
      </w:r>
    </w:p>
    <w:sectPr>
      <w:headerReference w:type="default" r:id="rId4"/>
      <w:footerReference w:type="default" r:id="rId5"/>
      <w:pgSz w:w="12240" w:h="15840" w:orient="portrait"/>
      <w:pgMar w:top="1440" w:right="1440" w:bottom="1440" w:left="1440" w:header="720" w:footer="864"/>
      <w:cols w:num="2" w:equalWidth="0">
        <w:col w:w="5760" w:space="468"/>
        <w:col w:w="3132" w:space="0"/>
      </w:cols>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footnotes.xml><?xml version="1.0" encoding="utf-8"?>
<w:footnotes xmlns:w="http://schemas.openxmlformats.org/wordprocessingml/2006/main" xmlns:r="http://schemas.openxmlformats.org/officeDocument/2006/relationships" xmlns:w14="http://schemas.microsoft.com/office/word/2010/wordml">
  <w:footnote w:type="separator" w:id="-1">
    <w:p>
      <w:r>
        <w:separator/>
      </w:r>
    </w:p>
  </w:footnote>
  <w:footnote w:type="continuationSeparator" w:id="0">
    <w:p>
      <w:r>
        <w:continuationSeparator/>
      </w:r>
    </w:p>
  </w:footnote>
  <w:footnote w:type="continuationNotice" w:id="-2">
    <w:p>
      <w:r>
        <w:t/>
      </w:r>
    </w:p>
  </w:footnote>
  <w:footnote w:id="1">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locis patentibus maximeque frumentariis finitimos: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[that he would have warmongering people] as neighbors in accessible and hugely fertile lands</w:t>
      </w:r>
      <w:r>
        <w:rPr>
          <w:rFonts w:ascii="Arial Unicode MS" w:cs="Arial Unicode MS" w:hAnsi="Helvetica" w:eastAsia="Arial Unicode MS" w:hint="default"/>
          <w:rtl w:val="0"/>
          <w:lang w:val="en-US"/>
        </w:rPr>
        <w:t xml:space="preserve">” </w:t>
      </w:r>
    </w:p>
  </w:footnote>
  <w:footnote w:id="2">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munitioni </w:t>
      </w:r>
      <w:r>
        <w:rPr>
          <w:rFonts w:ascii="Helvetica" w:cs="Arial Unicode MS" w:hAnsi="Arial Unicode MS" w:eastAsia="Arial Unicode MS"/>
          <w:i w:val="1"/>
          <w:iCs w:val="1"/>
          <w:rtl w:val="0"/>
          <w:lang w:val="en-US"/>
        </w:rPr>
        <w:t xml:space="preserve">refers to the huge wall that Caesar had previously built to stop the Helvetians from migrating. </w:t>
      </w:r>
    </w:p>
  </w:footnote>
  <w:footnote w:id="3">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Aquileiam: </w:t>
      </w:r>
      <w:r>
        <w:rPr>
          <w:rFonts w:ascii="Helvetica" w:cs="Arial Unicode MS" w:hAnsi="Arial Unicode MS" w:eastAsia="Arial Unicode MS"/>
          <w:i w:val="1"/>
          <w:iCs w:val="1"/>
          <w:rtl w:val="0"/>
          <w:lang w:val="en-US"/>
        </w:rPr>
        <w:t>a Roman town in northern Italy close to the Alps</w:t>
      </w:r>
      <w:r>
        <w:rPr>
          <w:rFonts w:ascii="Arial Unicode MS" w:cs="Arial Unicode MS" w:hAnsi="Helvetica" w:eastAsia="Arial Unicode MS" w:hint="default"/>
          <w:i w:val="1"/>
          <w:iCs w:val="1"/>
          <w:rtl w:val="0"/>
          <w:lang w:val="en-US"/>
        </w:rPr>
        <w:t>—</w:t>
      </w:r>
      <w:r>
        <w:rPr>
          <w:rFonts w:ascii="Helvetica" w:cs="Arial Unicode MS" w:hAnsi="Arial Unicode MS" w:eastAsia="Arial Unicode MS"/>
          <w:i w:val="1"/>
          <w:iCs w:val="1"/>
          <w:rtl w:val="0"/>
          <w:lang w:val="en-US"/>
        </w:rPr>
        <w:t xml:space="preserve">still exists today as a small Italian town. </w:t>
      </w:r>
    </w:p>
  </w:footnote>
  <w:footnote w:id="4">
    <w:p>
      <w:pPr>
        <w:pStyle w:val="Footnote"/>
        <w:bidi w:val="0"/>
      </w:pPr>
      <w:r>
        <w:rPr>
          <w:vertAlign w:val="superscript"/>
        </w:rPr>
        <w:footnoteRef/>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hibernis: </w:t>
      </w:r>
      <w:r>
        <w:rPr>
          <w:rFonts w:ascii="Helvetica" w:cs="Arial Unicode MS" w:hAnsi="Arial Unicode MS" w:eastAsia="Arial Unicode MS"/>
          <w:i w:val="1"/>
          <w:iCs w:val="1"/>
          <w:rtl w:val="0"/>
          <w:lang w:val="en-US"/>
        </w:rPr>
        <w:t>winter camp quarters that troops would station in during the winter</w:t>
      </w:r>
    </w:p>
  </w:footnote>
</w:footnotes>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b w:val="1"/>
        <w:bCs w:val="1"/>
        <w:sz w:val="22"/>
        <w:szCs w:val="22"/>
      </w:rPr>
      <w:tab/>
    </w:r>
    <w:r>
      <w:rPr>
        <w:b w:val="1"/>
        <w:bCs w:val="1"/>
        <w:sz w:val="22"/>
        <w:szCs w:val="22"/>
        <w:rtl w:val="0"/>
        <w:lang w:val="en-US"/>
      </w:rPr>
      <w:t xml:space="preserve">Gaius Iulius Caesar - </w:t>
    </w:r>
    <w:r>
      <w:rPr>
        <w:b w:val="1"/>
        <w:bCs w:val="1"/>
        <w:i w:val="1"/>
        <w:iCs w:val="1"/>
        <w:sz w:val="22"/>
        <w:szCs w:val="22"/>
        <w:rtl w:val="0"/>
        <w:lang w:val="en-US"/>
      </w:rPr>
      <w:t>De Bello Gallico</w:t>
    </w:r>
    <w:r>
      <w:rPr>
        <w:b w:val="1"/>
        <w:bCs w:val="1"/>
        <w:sz w:val="22"/>
        <w:szCs w:val="22"/>
      </w:r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footnotePr>
    <w:numFmt w:val="decimal"/>
    <w:numStart w:val="1"/>
    <w:numRestart w:val="continuous"/>
    <w:footnote w:id="-1"/>
    <w:footnote w:id="0"/>
    <w:footnote w:id="-2"/>
  </w:footnotePr>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Footnote">
    <w:name w:val="Footnote"/>
    <w:next w:val="Footnot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footnotes" Target="footnotes.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